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BE70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December 16, 2022</w:t>
      </w:r>
    </w:p>
    <w:p w14:paraId="19A79D83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Public Utility Commission of Texas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Central Records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Attn: Filing Clerk 1701 N. Congress Avenue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P.O. Box 13326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Austin, TX 78711-3326</w:t>
      </w:r>
    </w:p>
    <w:p w14:paraId="24533F0E" w14:textId="0648A352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Ratepayer Information: Name: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="001A0C6D">
        <w:rPr>
          <w:rFonts w:ascii="Arial" w:eastAsia="Times New Roman" w:hAnsi="Arial" w:cs="Arial"/>
          <w:sz w:val="24"/>
          <w:szCs w:val="24"/>
        </w:rPr>
        <w:t>Brandon Borden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 xml:space="preserve">Address: </w:t>
      </w:r>
      <w:r w:rsidR="001A0C6D">
        <w:rPr>
          <w:rFonts w:ascii="Arial" w:eastAsia="Times New Roman" w:hAnsi="Arial" w:cs="Arial"/>
          <w:sz w:val="24"/>
          <w:szCs w:val="24"/>
        </w:rPr>
        <w:t>122 Hide-A-Way Lane East</w:t>
      </w:r>
      <w:r w:rsidRPr="006F17DC">
        <w:rPr>
          <w:rFonts w:ascii="Arial" w:eastAsia="Times New Roman" w:hAnsi="Arial" w:cs="Arial"/>
          <w:sz w:val="24"/>
          <w:szCs w:val="24"/>
        </w:rPr>
        <w:t>, Hideaway, TX 75771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Phone Numbe</w:t>
      </w:r>
      <w:r w:rsidRPr="006F17DC">
        <w:rPr>
          <w:rFonts w:ascii="Arial" w:eastAsia="Times New Roman" w:hAnsi="Arial" w:cs="Arial"/>
          <w:sz w:val="24"/>
          <w:szCs w:val="24"/>
        </w:rPr>
        <w:t xml:space="preserve">r: </w:t>
      </w:r>
      <w:r w:rsidR="001A0C6D">
        <w:rPr>
          <w:rFonts w:ascii="Arial" w:eastAsia="Times New Roman" w:hAnsi="Arial" w:cs="Arial"/>
          <w:sz w:val="24"/>
          <w:szCs w:val="24"/>
        </w:rPr>
        <w:t>469-387-6430</w:t>
      </w:r>
    </w:p>
    <w:p w14:paraId="624E90D8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I, a ratepayer currently of Crystal Systems, Inc. in Hideaway Texas, hereby enter the following protests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regarding the proposed acquisition of Crystal Systems Texas, Inc. in Hideaway, Texas by Undine Texas,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LLC.</w:t>
      </w:r>
    </w:p>
    <w:p w14:paraId="199BEBBA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During the first two weeks of December, ratepayers in Hideaway Texas were notified of the proposed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acquisition, with a stated mailing date of December 2, 2022. The Notice’s stated link to Undine’s current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approved tariff was an invalid link, depriving me of timely information.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B654CEF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  <w:r w:rsidRPr="006F17DC">
        <w:rPr>
          <w:rFonts w:ascii="Arial" w:eastAsia="Times New Roman" w:hAnsi="Arial" w:cs="Arial"/>
          <w:sz w:val="24"/>
          <w:szCs w:val="24"/>
        </w:rPr>
        <w:t>I request that Undine Texas</w:t>
      </w:r>
      <w:r w:rsidRPr="006F17DC">
        <w:rPr>
          <w:rFonts w:ascii="Arial" w:eastAsia="Times New Roman" w:hAnsi="Arial" w:cs="Arial"/>
          <w:sz w:val="24"/>
          <w:szCs w:val="24"/>
        </w:rPr>
        <w:t>,</w:t>
      </w:r>
      <w:r w:rsidRPr="006F17DC">
        <w:rPr>
          <w:rFonts w:ascii="Arial" w:eastAsia="Times New Roman" w:hAnsi="Arial" w:cs="Arial"/>
          <w:sz w:val="24"/>
          <w:szCs w:val="24"/>
        </w:rPr>
        <w:t xml:space="preserve"> LLC send a corrected Notice to Current Customers, Landowners,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Neighboring Systems, and Cities to all ratepayers and that the 30-day intervention period start from the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 xml:space="preserve">Date Notice Mailed of the corrected Notice. </w:t>
      </w:r>
    </w:p>
    <w:p w14:paraId="663BA7D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979665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Subsequent research by the City of Hideaway found online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in the Application for Sale, Transfer, or Merger of a Retail Public Utility; Section 15, Undine Texas states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“rates will change to match those currently affected by the tariff enacted by Docket No. 50017 for CCN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13260.”</w:t>
      </w:r>
      <w:r w:rsidRPr="006F17DC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39D73D47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This tariff would result in a rate increase without any confirmed improvements or substantial changes in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operation. I am protesting this rate increase and request that if the acquisition is completed, that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Undine Texas’ water tariffs for our service area be restricted to the existing approved Crystal Systems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Texas’ water tariffs, under the City of Hideaway Ordinance 31-11-06-05.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</w:p>
    <w:p w14:paraId="40BCCF22" w14:textId="77777777" w:rsidR="006F17DC" w:rsidRPr="006F17DC" w:rsidRDefault="006F17DC" w:rsidP="006F17D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8A436DA" w14:textId="11568F1C" w:rsidR="006F17DC" w:rsidRPr="006F17DC" w:rsidRDefault="006F17DC" w:rsidP="006F17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F17DC">
        <w:rPr>
          <w:rFonts w:ascii="Arial" w:eastAsia="Times New Roman" w:hAnsi="Arial" w:cs="Arial"/>
          <w:sz w:val="24"/>
          <w:szCs w:val="24"/>
        </w:rPr>
        <w:t>I also request that the City of Hideaway retain the authority to set or approve the water tariff of any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systems operator operating in the City of Hideaway, as they have done with Crystal Systems, Inc; as</w:t>
      </w:r>
      <w:r w:rsidRPr="006F17DC">
        <w:rPr>
          <w:rFonts w:ascii="Arial" w:eastAsia="Times New Roman" w:hAnsi="Arial" w:cs="Arial"/>
          <w:sz w:val="24"/>
          <w:szCs w:val="24"/>
        </w:rPr>
        <w:t xml:space="preserve"> </w:t>
      </w:r>
      <w:r w:rsidRPr="006F17DC">
        <w:rPr>
          <w:rFonts w:ascii="Arial" w:eastAsia="Times New Roman" w:hAnsi="Arial" w:cs="Arial"/>
          <w:sz w:val="24"/>
          <w:szCs w:val="24"/>
        </w:rPr>
        <w:t>evidenced by the existing water tariff being established under the City of Hideaway Ordinance 31-11-06-05.</w:t>
      </w:r>
    </w:p>
    <w:p w14:paraId="4CB4075D" w14:textId="4E52694E" w:rsidR="00DF0E2B" w:rsidRPr="006F17DC" w:rsidRDefault="00DF0E2B">
      <w:pPr>
        <w:rPr>
          <w:sz w:val="24"/>
          <w:szCs w:val="24"/>
        </w:rPr>
      </w:pPr>
    </w:p>
    <w:p w14:paraId="4A9EB073" w14:textId="44E400D2" w:rsidR="006F17DC" w:rsidRPr="006F17DC" w:rsidRDefault="006F17DC">
      <w:pPr>
        <w:rPr>
          <w:sz w:val="24"/>
          <w:szCs w:val="24"/>
        </w:rPr>
      </w:pPr>
    </w:p>
    <w:p w14:paraId="7A005858" w14:textId="2C3AD89B" w:rsidR="006F17DC" w:rsidRPr="006F17DC" w:rsidRDefault="006F17DC">
      <w:pPr>
        <w:rPr>
          <w:sz w:val="24"/>
          <w:szCs w:val="24"/>
        </w:rPr>
      </w:pPr>
      <w:r w:rsidRPr="006F17DC">
        <w:rPr>
          <w:sz w:val="24"/>
          <w:szCs w:val="24"/>
        </w:rPr>
        <w:t>/</w:t>
      </w:r>
      <w:r w:rsidR="001A0C6D">
        <w:rPr>
          <w:sz w:val="24"/>
          <w:szCs w:val="24"/>
        </w:rPr>
        <w:t>S</w:t>
      </w:r>
      <w:r w:rsidRPr="006F17DC">
        <w:rPr>
          <w:sz w:val="24"/>
          <w:szCs w:val="24"/>
        </w:rPr>
        <w:t xml:space="preserve">/ </w:t>
      </w:r>
      <w:r w:rsidR="001A0C6D">
        <w:rPr>
          <w:sz w:val="24"/>
          <w:szCs w:val="24"/>
        </w:rPr>
        <w:t>Brandon Borden</w:t>
      </w:r>
    </w:p>
    <w:sectPr w:rsidR="006F17DC" w:rsidRPr="006F17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DC"/>
    <w:rsid w:val="001A0C6D"/>
    <w:rsid w:val="006F17DC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26CE1"/>
  <w15:chartTrackingRefBased/>
  <w15:docId w15:val="{3AFCFCF4-155B-417C-A3D3-56FAD03AD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087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299</Words>
  <Characters>1707</Characters>
  <Application>Microsoft Office Word</Application>
  <DocSecurity>0</DocSecurity>
  <Lines>14</Lines>
  <Paragraphs>4</Paragraphs>
  <ScaleCrop>false</ScaleCrop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Moore</dc:creator>
  <cp:keywords/>
  <dc:description/>
  <cp:lastModifiedBy>Anita Moore</cp:lastModifiedBy>
  <cp:revision>2</cp:revision>
  <dcterms:created xsi:type="dcterms:W3CDTF">2022-12-16T22:20:00Z</dcterms:created>
  <dcterms:modified xsi:type="dcterms:W3CDTF">2022-12-16T22:20:00Z</dcterms:modified>
</cp:coreProperties>
</file>